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0251C1" w:rsidRPr="00666F17" w14:paraId="6EEE2B26" w14:textId="77777777" w:rsidTr="002361C1">
        <w:tc>
          <w:tcPr>
            <w:tcW w:w="2263" w:type="dxa"/>
            <w:shd w:val="clear" w:color="auto" w:fill="BFBFBF" w:themeFill="background1" w:themeFillShade="BF"/>
          </w:tcPr>
          <w:p w14:paraId="571F00EC" w14:textId="65B99F49" w:rsidR="000251C1" w:rsidRPr="00666F17" w:rsidRDefault="000251C1" w:rsidP="000251C1">
            <w:pPr>
              <w:spacing w:before="60" w:after="60"/>
              <w:rPr>
                <w:rFonts w:ascii="Arial" w:hAnsi="Arial" w:cs="Arial"/>
                <w:bCs/>
              </w:rPr>
            </w:pPr>
            <w:r w:rsidRPr="00666F17">
              <w:rPr>
                <w:rFonts w:ascii="Arial" w:hAnsi="Arial" w:cs="Arial"/>
                <w:bCs/>
              </w:rPr>
              <w:t>Product name</w:t>
            </w:r>
          </w:p>
        </w:tc>
        <w:tc>
          <w:tcPr>
            <w:tcW w:w="6753" w:type="dxa"/>
          </w:tcPr>
          <w:p w14:paraId="5B733CBE" w14:textId="64C413B8" w:rsidR="000251C1" w:rsidRPr="00666F17" w:rsidRDefault="000251C1" w:rsidP="000251C1">
            <w:pPr>
              <w:spacing w:before="60" w:after="60"/>
              <w:rPr>
                <w:rFonts w:ascii="Arial" w:hAnsi="Arial" w:cs="Arial"/>
                <w:bCs/>
              </w:rPr>
            </w:pPr>
            <w:r>
              <w:rPr>
                <w:rFonts w:ascii="Arial" w:hAnsi="Arial" w:cs="Arial"/>
                <w:bCs/>
              </w:rPr>
              <w:t>Property Owners</w:t>
            </w:r>
            <w:r>
              <w:rPr>
                <w:rFonts w:ascii="Arial" w:hAnsi="Arial" w:cs="Arial"/>
                <w:bCs/>
              </w:rPr>
              <w:t xml:space="preserve"> Insurance</w:t>
            </w:r>
          </w:p>
        </w:tc>
      </w:tr>
      <w:tr w:rsidR="000251C1" w:rsidRPr="00666F17" w14:paraId="7517C7ED" w14:textId="77777777" w:rsidTr="00D41241">
        <w:tc>
          <w:tcPr>
            <w:tcW w:w="2263" w:type="dxa"/>
            <w:shd w:val="clear" w:color="auto" w:fill="BFBFBF" w:themeFill="background1" w:themeFillShade="BF"/>
          </w:tcPr>
          <w:p w14:paraId="5ACDFED2" w14:textId="5113591A" w:rsidR="000251C1" w:rsidRPr="00666F17" w:rsidRDefault="000251C1" w:rsidP="000251C1">
            <w:pPr>
              <w:rPr>
                <w:rFonts w:ascii="Arial" w:hAnsi="Arial" w:cs="Arial"/>
                <w:bCs/>
              </w:rPr>
            </w:pPr>
            <w:r w:rsidRPr="00666F17">
              <w:rPr>
                <w:rFonts w:ascii="Arial" w:hAnsi="Arial" w:cs="Arial"/>
                <w:bCs/>
              </w:rPr>
              <w:t>Reference/UMR [Binder]</w:t>
            </w:r>
          </w:p>
        </w:tc>
        <w:tc>
          <w:tcPr>
            <w:tcW w:w="6753" w:type="dxa"/>
            <w:vAlign w:val="center"/>
          </w:tcPr>
          <w:p w14:paraId="2BB5B61A" w14:textId="77777777" w:rsidR="000251C1" w:rsidRPr="00666F17" w:rsidRDefault="000251C1" w:rsidP="000251C1">
            <w:pPr>
              <w:rPr>
                <w:rFonts w:ascii="Arial" w:hAnsi="Arial" w:cs="Arial"/>
                <w:bCs/>
              </w:rPr>
            </w:pPr>
          </w:p>
        </w:tc>
      </w:tr>
      <w:tr w:rsidR="000251C1" w:rsidRPr="00666F17" w14:paraId="2BA632AD" w14:textId="77777777" w:rsidTr="00D41241">
        <w:tc>
          <w:tcPr>
            <w:tcW w:w="2263" w:type="dxa"/>
            <w:shd w:val="clear" w:color="auto" w:fill="BFBFBF" w:themeFill="background1" w:themeFillShade="BF"/>
          </w:tcPr>
          <w:p w14:paraId="13DE7379" w14:textId="06B3E082" w:rsidR="000251C1" w:rsidRPr="00666F17" w:rsidRDefault="000251C1" w:rsidP="000251C1">
            <w:pPr>
              <w:rPr>
                <w:rFonts w:ascii="Arial" w:hAnsi="Arial" w:cs="Arial"/>
                <w:bCs/>
              </w:rPr>
            </w:pPr>
            <w:r w:rsidRPr="00666F17">
              <w:rPr>
                <w:rFonts w:ascii="Arial" w:hAnsi="Arial" w:cs="Arial"/>
                <w:bCs/>
              </w:rPr>
              <w:t>Reference [Class of Business]</w:t>
            </w:r>
          </w:p>
        </w:tc>
        <w:tc>
          <w:tcPr>
            <w:tcW w:w="6753" w:type="dxa"/>
            <w:vAlign w:val="center"/>
          </w:tcPr>
          <w:p w14:paraId="5800A426" w14:textId="624DD466" w:rsidR="000251C1" w:rsidRPr="00666F17" w:rsidRDefault="000251C1" w:rsidP="000251C1">
            <w:pPr>
              <w:rPr>
                <w:rFonts w:ascii="Arial" w:hAnsi="Arial" w:cs="Arial"/>
                <w:bCs/>
              </w:rPr>
            </w:pPr>
            <w:r>
              <w:rPr>
                <w:rFonts w:ascii="Arial" w:hAnsi="Arial" w:cs="Arial"/>
                <w:bCs/>
              </w:rPr>
              <w:t>Property</w:t>
            </w:r>
          </w:p>
        </w:tc>
      </w:tr>
      <w:tr w:rsidR="000251C1" w:rsidRPr="00666F17" w14:paraId="187A3219" w14:textId="77777777" w:rsidTr="002361C1">
        <w:tc>
          <w:tcPr>
            <w:tcW w:w="2263" w:type="dxa"/>
            <w:shd w:val="clear" w:color="auto" w:fill="BFBFBF" w:themeFill="background1" w:themeFillShade="BF"/>
          </w:tcPr>
          <w:p w14:paraId="7D583A12" w14:textId="79D0151A" w:rsidR="000251C1" w:rsidRPr="00666F17" w:rsidRDefault="000251C1" w:rsidP="000251C1">
            <w:pPr>
              <w:spacing w:before="60" w:after="60"/>
              <w:rPr>
                <w:rFonts w:ascii="Arial" w:hAnsi="Arial" w:cs="Arial"/>
                <w:bCs/>
              </w:rPr>
            </w:pPr>
            <w:r w:rsidRPr="00666F17">
              <w:rPr>
                <w:rFonts w:ascii="Arial" w:hAnsi="Arial" w:cs="Arial"/>
                <w:bCs/>
              </w:rPr>
              <w:t>Date</w:t>
            </w:r>
          </w:p>
        </w:tc>
        <w:tc>
          <w:tcPr>
            <w:tcW w:w="6753" w:type="dxa"/>
          </w:tcPr>
          <w:p w14:paraId="3CB8CC16" w14:textId="1888EF5A" w:rsidR="000251C1" w:rsidRPr="00666F17" w:rsidRDefault="000251C1" w:rsidP="000251C1">
            <w:pPr>
              <w:spacing w:before="60" w:after="60"/>
              <w:rPr>
                <w:rFonts w:ascii="Arial" w:hAnsi="Arial" w:cs="Arial"/>
                <w:bCs/>
              </w:rPr>
            </w:pPr>
            <w:r>
              <w:rPr>
                <w:rFonts w:ascii="Arial" w:hAnsi="Arial" w:cs="Arial"/>
                <w:bCs/>
              </w:rPr>
              <w:t>November</w:t>
            </w:r>
            <w:r w:rsidRPr="00C6756E">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2FF1237B" w14:textId="77777777" w:rsidR="000251C1" w:rsidRDefault="000251C1" w:rsidP="000251C1">
            <w:pPr>
              <w:spacing w:before="120" w:after="120"/>
              <w:jc w:val="both"/>
              <w:rPr>
                <w:rFonts w:ascii="Arial" w:hAnsi="Arial" w:cs="Arial"/>
                <w:bCs/>
              </w:rPr>
            </w:pPr>
            <w:r>
              <w:rPr>
                <w:rFonts w:ascii="Arial" w:hAnsi="Arial" w:cs="Arial"/>
                <w:bCs/>
              </w:rPr>
              <w:t>This Property Owners product is designed to cover the needs of commercial customers in the commercial or residential property owners sectors.  The product coverage can be purchased as a complete 5 section package, a combination of just some of the sections or a single stand-alone section, based on an annual period of insurance (other periods of insurance may be available).</w:t>
            </w:r>
          </w:p>
          <w:p w14:paraId="50EADF87" w14:textId="77777777" w:rsidR="000251C1" w:rsidRPr="003E2FCE" w:rsidRDefault="000251C1" w:rsidP="000251C1">
            <w:pPr>
              <w:pStyle w:val="ListParagraph"/>
              <w:numPr>
                <w:ilvl w:val="0"/>
                <w:numId w:val="20"/>
              </w:numPr>
              <w:spacing w:after="60"/>
              <w:ind w:left="173" w:hanging="144"/>
              <w:rPr>
                <w:rFonts w:ascii="Arial" w:hAnsi="Arial" w:cs="Arial"/>
                <w:bCs/>
              </w:rPr>
            </w:pPr>
            <w:r w:rsidRPr="003E2FCE">
              <w:rPr>
                <w:rFonts w:ascii="Arial" w:hAnsi="Arial" w:cs="Arial"/>
                <w:b/>
              </w:rPr>
              <w:t>Property section</w:t>
            </w:r>
            <w:r w:rsidRPr="003E2FCE">
              <w:rPr>
                <w:rFonts w:ascii="Arial" w:hAnsi="Arial" w:cs="Arial"/>
                <w:bCs/>
              </w:rPr>
              <w:t xml:space="preserve"> </w:t>
            </w:r>
          </w:p>
          <w:p w14:paraId="5D8E2092" w14:textId="77777777" w:rsidR="000251C1" w:rsidRDefault="000251C1" w:rsidP="000251C1">
            <w:pPr>
              <w:spacing w:after="60"/>
              <w:jc w:val="both"/>
              <w:rPr>
                <w:rFonts w:ascii="Arial" w:hAnsi="Arial" w:cs="Arial"/>
                <w:bCs/>
              </w:rPr>
            </w:pPr>
            <w:r>
              <w:rPr>
                <w:rFonts w:ascii="Arial" w:hAnsi="Arial" w:cs="Arial"/>
                <w:bCs/>
              </w:rPr>
              <w:t>provides coverage on an all risks basis which protects against physical loss of, or damage to, insured property (not otherwise excluded) occurring at the customer’s premises or whilst otherwise individually agreed.  Standard extensions are available which include but are not limited to</w:t>
            </w:r>
            <w:r>
              <w:t xml:space="preserve"> </w:t>
            </w:r>
            <w:r w:rsidRPr="00E876A4">
              <w:rPr>
                <w:rFonts w:ascii="Arial" w:hAnsi="Arial" w:cs="Arial"/>
              </w:rPr>
              <w:t>Archaeological Discoveries,</w:t>
            </w:r>
            <w:r>
              <w:t xml:space="preserve"> </w:t>
            </w:r>
            <w:r w:rsidRPr="00FA7416">
              <w:rPr>
                <w:rFonts w:ascii="Arial" w:hAnsi="Arial" w:cs="Arial"/>
                <w:bCs/>
              </w:rPr>
              <w:t>Architects’, Surveyors’, Engineers’ Legal Fees</w:t>
            </w:r>
            <w:r>
              <w:rPr>
                <w:rFonts w:ascii="Arial" w:hAnsi="Arial" w:cs="Arial"/>
                <w:bCs/>
              </w:rPr>
              <w:t xml:space="preserve">, Capital Additions, Claims Preparation, Drain Clearance, Eviction of Squatters, Fire Extinguishing Expenses, Fly Tipping, Metered Utilities, Removal of Debris, Removal of Insect Nests, Trace and Access, Tree Removal and Unauthorised use of Electricity, Gas, Oil or Water. Inner limits will apply to some extensions.  The basis of settlement is Reinstatement (Day One basis with the Day One Uplift percentage agreed at inception). An amended basis of settlement applies to </w:t>
            </w:r>
            <w:r w:rsidRPr="00C6785F">
              <w:rPr>
                <w:rFonts w:ascii="Arial" w:hAnsi="Arial" w:cs="Arial"/>
                <w:bCs/>
              </w:rPr>
              <w:t>Unoccupied Buildings Awaiting Demolition and Re-development</w:t>
            </w:r>
            <w:r>
              <w:rPr>
                <w:rFonts w:ascii="Arial" w:hAnsi="Arial" w:cs="Arial"/>
                <w:bCs/>
              </w:rPr>
              <w:t>.</w:t>
            </w:r>
          </w:p>
          <w:p w14:paraId="751A2D78" w14:textId="77777777" w:rsidR="000251C1" w:rsidRPr="00380E8D" w:rsidRDefault="000251C1" w:rsidP="000251C1">
            <w:pPr>
              <w:pStyle w:val="ListParagraph"/>
              <w:numPr>
                <w:ilvl w:val="0"/>
                <w:numId w:val="21"/>
              </w:numPr>
              <w:spacing w:after="60"/>
              <w:ind w:left="173" w:hanging="144"/>
              <w:rPr>
                <w:rFonts w:ascii="Arial" w:hAnsi="Arial" w:cs="Arial"/>
                <w:bCs/>
              </w:rPr>
            </w:pPr>
            <w:r>
              <w:rPr>
                <w:rFonts w:ascii="Arial" w:hAnsi="Arial" w:cs="Arial"/>
                <w:b/>
              </w:rPr>
              <w:t>Rent Receivable</w:t>
            </w:r>
            <w:r w:rsidRPr="00380E8D">
              <w:rPr>
                <w:rFonts w:ascii="Arial" w:hAnsi="Arial" w:cs="Arial"/>
                <w:b/>
              </w:rPr>
              <w:t xml:space="preserve"> </w:t>
            </w:r>
            <w:proofErr w:type="gramStart"/>
            <w:r w:rsidRPr="00380E8D">
              <w:rPr>
                <w:rFonts w:ascii="Arial" w:hAnsi="Arial" w:cs="Arial"/>
                <w:b/>
              </w:rPr>
              <w:t>section</w:t>
            </w:r>
            <w:proofErr w:type="gramEnd"/>
            <w:r w:rsidRPr="00380E8D">
              <w:rPr>
                <w:rFonts w:ascii="Arial" w:hAnsi="Arial" w:cs="Arial"/>
                <w:bCs/>
              </w:rPr>
              <w:t xml:space="preserve"> </w:t>
            </w:r>
          </w:p>
          <w:p w14:paraId="084F418B" w14:textId="77777777" w:rsidR="000251C1" w:rsidRDefault="000251C1" w:rsidP="000251C1">
            <w:pPr>
              <w:spacing w:after="60"/>
              <w:jc w:val="both"/>
              <w:rPr>
                <w:rFonts w:ascii="Arial" w:hAnsi="Arial" w:cs="Arial"/>
                <w:bCs/>
              </w:rPr>
            </w:pPr>
            <w:r>
              <w:rPr>
                <w:rFonts w:ascii="Arial" w:hAnsi="Arial" w:cs="Arial"/>
                <w:bCs/>
              </w:rPr>
              <w:t>protects against the loss of rent receivable derived from the customer’s business. Two forms of cover are available – Rent Receivable and Additional Increase in Cost of Working.  Extensions to cover include, but are not limited to, Anchor Tenants, Capital Additions, Denial of Access, Specified Illness and Miscellaneous Contingencies, Loss of Attraction and Public Utilities. Coverage is dependent on a valid material damage claim arising under a property coverage in force at the time of the loss.</w:t>
            </w:r>
          </w:p>
          <w:p w14:paraId="6392292A" w14:textId="77777777" w:rsidR="000251C1" w:rsidRPr="00380E8D" w:rsidRDefault="000251C1" w:rsidP="000251C1">
            <w:pPr>
              <w:pStyle w:val="ListParagraph"/>
              <w:numPr>
                <w:ilvl w:val="0"/>
                <w:numId w:val="22"/>
              </w:numPr>
              <w:spacing w:after="60"/>
              <w:ind w:left="168" w:hanging="142"/>
              <w:rPr>
                <w:rFonts w:ascii="Arial" w:hAnsi="Arial" w:cs="Arial"/>
                <w:bCs/>
              </w:rPr>
            </w:pPr>
            <w:r w:rsidRPr="00380E8D">
              <w:rPr>
                <w:rFonts w:ascii="Arial" w:hAnsi="Arial" w:cs="Arial"/>
                <w:b/>
              </w:rPr>
              <w:t>Terrorism section</w:t>
            </w:r>
            <w:r w:rsidRPr="00380E8D">
              <w:rPr>
                <w:rFonts w:ascii="Arial" w:hAnsi="Arial" w:cs="Arial"/>
                <w:bCs/>
              </w:rPr>
              <w:t xml:space="preserve"> </w:t>
            </w:r>
          </w:p>
          <w:p w14:paraId="79422EE2" w14:textId="65BBB8A6" w:rsidR="000251C1" w:rsidRDefault="000251C1" w:rsidP="000251C1">
            <w:pPr>
              <w:spacing w:after="60"/>
              <w:jc w:val="both"/>
              <w:rPr>
                <w:rFonts w:ascii="Arial" w:hAnsi="Arial" w:cs="Arial"/>
                <w:bCs/>
              </w:rPr>
            </w:pPr>
            <w:r>
              <w:rPr>
                <w:rFonts w:ascii="Arial" w:hAnsi="Arial" w:cs="Arial"/>
                <w:bCs/>
              </w:rPr>
              <w:t>available to provide coverage in relation to acts of terrorism for the Property and Rent Receivable Sections with capacity being offered via Pool Re.</w:t>
            </w:r>
          </w:p>
          <w:p w14:paraId="6DA7AA91" w14:textId="54477CF4" w:rsidR="000251C1" w:rsidRDefault="000251C1" w:rsidP="000251C1">
            <w:pPr>
              <w:spacing w:after="60"/>
              <w:jc w:val="both"/>
              <w:rPr>
                <w:rFonts w:ascii="Arial" w:hAnsi="Arial" w:cs="Arial"/>
                <w:bCs/>
              </w:rPr>
            </w:pPr>
          </w:p>
          <w:p w14:paraId="55917548" w14:textId="77777777" w:rsidR="000251C1" w:rsidRDefault="000251C1" w:rsidP="000251C1">
            <w:pPr>
              <w:spacing w:after="60"/>
              <w:jc w:val="both"/>
              <w:rPr>
                <w:rFonts w:ascii="Arial" w:hAnsi="Arial" w:cs="Arial"/>
                <w:bCs/>
              </w:rPr>
            </w:pPr>
          </w:p>
          <w:p w14:paraId="7B0D9340" w14:textId="77777777" w:rsidR="000251C1" w:rsidRPr="00380E8D" w:rsidRDefault="000251C1" w:rsidP="000251C1">
            <w:pPr>
              <w:pStyle w:val="ListParagraph"/>
              <w:numPr>
                <w:ilvl w:val="0"/>
                <w:numId w:val="22"/>
              </w:numPr>
              <w:spacing w:after="60"/>
              <w:ind w:left="168" w:hanging="142"/>
              <w:rPr>
                <w:rFonts w:ascii="Arial" w:hAnsi="Arial" w:cs="Arial"/>
                <w:bCs/>
              </w:rPr>
            </w:pPr>
            <w:r w:rsidRPr="00380E8D">
              <w:rPr>
                <w:rFonts w:ascii="Arial" w:hAnsi="Arial" w:cs="Arial"/>
                <w:b/>
              </w:rPr>
              <w:lastRenderedPageBreak/>
              <w:t>Employers’ Liability section</w:t>
            </w:r>
            <w:r w:rsidRPr="00380E8D">
              <w:rPr>
                <w:rFonts w:ascii="Arial" w:hAnsi="Arial" w:cs="Arial"/>
                <w:bCs/>
              </w:rPr>
              <w:t xml:space="preserve"> </w:t>
            </w:r>
          </w:p>
          <w:p w14:paraId="52D707E4" w14:textId="77777777" w:rsidR="000251C1" w:rsidRDefault="000251C1" w:rsidP="000251C1">
            <w:pPr>
              <w:spacing w:after="60"/>
              <w:jc w:val="both"/>
              <w:rPr>
                <w:rFonts w:ascii="Arial" w:hAnsi="Arial" w:cs="Arial"/>
                <w:bCs/>
              </w:rPr>
            </w:pPr>
            <w:r>
              <w:rPr>
                <w:rFonts w:ascii="Arial" w:hAnsi="Arial" w:cs="Arial"/>
                <w:bCs/>
              </w:rPr>
              <w:t xml:space="preserve">covers the customer’s statutory duty to </w:t>
            </w:r>
            <w:proofErr w:type="gramStart"/>
            <w:r>
              <w:rPr>
                <w:rFonts w:ascii="Arial" w:hAnsi="Arial" w:cs="Arial"/>
                <w:bCs/>
              </w:rPr>
              <w:t>ins</w:t>
            </w:r>
            <w:r w:rsidRPr="00DA7359">
              <w:rPr>
                <w:rFonts w:ascii="Arial" w:hAnsi="Arial" w:cs="Arial"/>
                <w:bCs/>
              </w:rPr>
              <w:t>ure</w:t>
            </w:r>
            <w:proofErr w:type="gramEnd"/>
            <w:r w:rsidRPr="00DA7359">
              <w:rPr>
                <w:rFonts w:ascii="Arial" w:hAnsi="Arial" w:cs="Arial"/>
                <w:bCs/>
              </w:rPr>
              <w:t xml:space="preserve"> its legal liability for bodily injury or disease sustained by their employees which arises out of</w:t>
            </w:r>
            <w:r w:rsidRPr="00110904">
              <w:rPr>
                <w:rFonts w:ascii="Arial" w:hAnsi="Arial" w:cs="Arial"/>
                <w:bCs/>
                <w:color w:val="FF0000"/>
              </w:rPr>
              <w:t xml:space="preserve"> </w:t>
            </w:r>
            <w:r>
              <w:rPr>
                <w:rFonts w:ascii="Arial" w:hAnsi="Arial" w:cs="Arial"/>
                <w:bCs/>
              </w:rPr>
              <w:t xml:space="preserve">and </w:t>
            </w:r>
            <w:r w:rsidRPr="009E6C5D">
              <w:rPr>
                <w:rFonts w:ascii="Arial" w:hAnsi="Arial" w:cs="Arial"/>
                <w:bCs/>
              </w:rPr>
              <w:t xml:space="preserve">in the </w:t>
            </w:r>
            <w:r>
              <w:rPr>
                <w:rFonts w:ascii="Arial" w:hAnsi="Arial" w:cs="Arial"/>
                <w:bCs/>
              </w:rPr>
              <w:t xml:space="preserve">course of their </w:t>
            </w:r>
            <w:r w:rsidRPr="009E6C5D">
              <w:rPr>
                <w:rFonts w:ascii="Arial" w:hAnsi="Arial" w:cs="Arial"/>
                <w:bCs/>
              </w:rPr>
              <w:t>employment.</w:t>
            </w:r>
            <w:r>
              <w:rPr>
                <w:rFonts w:ascii="Arial" w:hAnsi="Arial" w:cs="Arial"/>
                <w:bCs/>
              </w:rPr>
              <w:t xml:space="preserve"> </w:t>
            </w:r>
          </w:p>
          <w:p w14:paraId="0718C03E" w14:textId="77777777" w:rsidR="000251C1" w:rsidRPr="00380E8D" w:rsidRDefault="000251C1" w:rsidP="000251C1">
            <w:pPr>
              <w:pStyle w:val="ListParagraph"/>
              <w:numPr>
                <w:ilvl w:val="0"/>
                <w:numId w:val="22"/>
              </w:numPr>
              <w:spacing w:after="60"/>
              <w:ind w:left="168" w:hanging="142"/>
              <w:rPr>
                <w:rFonts w:ascii="Arial" w:hAnsi="Arial" w:cs="Arial"/>
                <w:bCs/>
              </w:rPr>
            </w:pPr>
            <w:r w:rsidRPr="00380E8D">
              <w:rPr>
                <w:rFonts w:ascii="Arial" w:hAnsi="Arial" w:cs="Arial"/>
                <w:b/>
              </w:rPr>
              <w:t>P</w:t>
            </w:r>
            <w:r>
              <w:rPr>
                <w:rFonts w:ascii="Arial" w:hAnsi="Arial" w:cs="Arial"/>
                <w:b/>
              </w:rPr>
              <w:t>roperty Owners’</w:t>
            </w:r>
            <w:r w:rsidRPr="00380E8D">
              <w:rPr>
                <w:rFonts w:ascii="Arial" w:hAnsi="Arial" w:cs="Arial"/>
                <w:b/>
              </w:rPr>
              <w:t xml:space="preserve"> Liability section</w:t>
            </w:r>
            <w:r w:rsidRPr="00380E8D">
              <w:rPr>
                <w:rFonts w:ascii="Arial" w:hAnsi="Arial" w:cs="Arial"/>
                <w:bCs/>
              </w:rPr>
              <w:t xml:space="preserve"> </w:t>
            </w:r>
          </w:p>
          <w:p w14:paraId="1D8A5238" w14:textId="5B93B3BC" w:rsidR="0069381A" w:rsidRPr="00666F17" w:rsidRDefault="000251C1" w:rsidP="000251C1">
            <w:pPr>
              <w:spacing w:after="60"/>
              <w:jc w:val="both"/>
              <w:rPr>
                <w:rFonts w:ascii="Arial" w:hAnsi="Arial" w:cs="Arial"/>
                <w:b/>
                <w:u w:val="single"/>
              </w:rPr>
            </w:pPr>
            <w:r>
              <w:rPr>
                <w:rFonts w:ascii="Arial" w:hAnsi="Arial" w:cs="Arial"/>
                <w:bCs/>
              </w:rPr>
              <w:t>provides</w:t>
            </w:r>
            <w:r w:rsidRPr="004D68D2">
              <w:rPr>
                <w:rFonts w:ascii="Arial" w:hAnsi="Arial" w:cs="Arial"/>
                <w:bCs/>
              </w:rPr>
              <w:t xml:space="preserve"> </w:t>
            </w:r>
            <w:r>
              <w:rPr>
                <w:rFonts w:ascii="Arial" w:hAnsi="Arial" w:cs="Arial"/>
                <w:bCs/>
              </w:rPr>
              <w:t>protection for the customer</w:t>
            </w:r>
            <w:r w:rsidRPr="004D68D2">
              <w:rPr>
                <w:rFonts w:ascii="Arial" w:hAnsi="Arial" w:cs="Arial"/>
                <w:bCs/>
              </w:rPr>
              <w:t xml:space="preserve"> </w:t>
            </w:r>
            <w:r>
              <w:rPr>
                <w:rFonts w:ascii="Arial" w:hAnsi="Arial" w:cs="Arial"/>
                <w:bCs/>
              </w:rPr>
              <w:t>against their legal liability arising as a result of third party property damage and/or third party bodily injury caused as a result of their business activities.</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lastRenderedPageBreak/>
              <w:t>Target market</w:t>
            </w:r>
          </w:p>
        </w:tc>
      </w:tr>
      <w:tr w:rsidR="0069381A" w:rsidRPr="00666F17" w14:paraId="44782A1D" w14:textId="77777777" w:rsidTr="00251B1B">
        <w:trPr>
          <w:gridAfter w:val="1"/>
          <w:wAfter w:w="24" w:type="dxa"/>
        </w:trPr>
        <w:tc>
          <w:tcPr>
            <w:tcW w:w="9016" w:type="dxa"/>
            <w:gridSpan w:val="4"/>
          </w:tcPr>
          <w:p w14:paraId="2EA9D5B4" w14:textId="11BC53CA" w:rsidR="008E6A27" w:rsidRPr="00666F17" w:rsidRDefault="003C7BF0" w:rsidP="003C7BF0">
            <w:pPr>
              <w:pStyle w:val="ListParagraph"/>
              <w:spacing w:before="60" w:after="6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2D7FC33F"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r w:rsidR="003C7BF0">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5DB226B3" w14:textId="77777777" w:rsidR="003C7BF0" w:rsidRDefault="003C7BF0" w:rsidP="003C7BF0">
            <w:pPr>
              <w:spacing w:before="60" w:after="60"/>
              <w:jc w:val="both"/>
              <w:rPr>
                <w:rFonts w:ascii="Arial" w:hAnsi="Arial" w:cs="Arial"/>
                <w:bCs/>
              </w:rPr>
            </w:pPr>
            <w:r>
              <w:rPr>
                <w:rFonts w:ascii="Arial" w:hAnsi="Arial" w:cs="Arial"/>
                <w:bCs/>
              </w:rPr>
              <w:t>There are a number of General Policy Terms, Exclusions and Conditions and each Section contains additional Terms, Exclusions and Conditions that specifically relate to that Section. These are detailed in full in the Policy Wording which is attached to any quotation issued by the carrier.</w:t>
            </w:r>
          </w:p>
          <w:p w14:paraId="3AE9F242" w14:textId="1683982B" w:rsidR="008E6A27" w:rsidRPr="00666F17" w:rsidRDefault="003C7BF0" w:rsidP="003C7BF0">
            <w:pPr>
              <w:spacing w:before="60" w:after="60"/>
              <w:jc w:val="both"/>
              <w:rPr>
                <w:rFonts w:ascii="Arial" w:hAnsi="Arial" w:cs="Arial"/>
                <w:bCs/>
              </w:rPr>
            </w:pPr>
            <w:r w:rsidRPr="00AB3706">
              <w:rPr>
                <w:rFonts w:ascii="Arial" w:hAnsi="Arial" w:cs="Arial"/>
                <w:bCs/>
              </w:rPr>
              <w:t>The Policy Wording is also available on request</w:t>
            </w:r>
            <w:r w:rsidRPr="00AB3706">
              <w:t xml:space="preserve"> </w:t>
            </w:r>
            <w:r w:rsidRPr="00AB3706">
              <w:rPr>
                <w:rFonts w:ascii="Arial" w:hAnsi="Arial" w:cs="Arial"/>
                <w:bCs/>
              </w:rPr>
              <w:t>from the carrier who recommends that the wording is checked carefully to ensure it meets the customer’s needs.</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t>Other information which may be relevant to distributors</w:t>
            </w:r>
          </w:p>
        </w:tc>
      </w:tr>
      <w:tr w:rsidR="0069381A" w:rsidRPr="00666F17" w14:paraId="0E72F86C" w14:textId="77777777" w:rsidTr="00251B1B">
        <w:trPr>
          <w:gridAfter w:val="1"/>
          <w:wAfter w:w="24" w:type="dxa"/>
        </w:trPr>
        <w:tc>
          <w:tcPr>
            <w:tcW w:w="9016" w:type="dxa"/>
            <w:gridSpan w:val="4"/>
          </w:tcPr>
          <w:p w14:paraId="69FF04A0" w14:textId="77777777" w:rsidR="003C7BF0" w:rsidRDefault="003C7BF0" w:rsidP="003C7BF0">
            <w:pPr>
              <w:spacing w:before="60" w:after="60"/>
              <w:jc w:val="both"/>
              <w:rPr>
                <w:rFonts w:ascii="Arial" w:hAnsi="Arial" w:cs="Arial"/>
                <w:bCs/>
              </w:rPr>
            </w:pPr>
            <w:r>
              <w:rPr>
                <w:rFonts w:ascii="Arial" w:hAnsi="Arial" w:cs="Arial"/>
                <w:bCs/>
              </w:rPr>
              <w:t xml:space="preserve">Pool Re terrorism cover is available only within </w:t>
            </w:r>
            <w:r w:rsidRPr="00F24AC0">
              <w:rPr>
                <w:rFonts w:ascii="Arial" w:hAnsi="Arial" w:cs="Arial"/>
                <w:bCs/>
              </w:rPr>
              <w:t>England and Wales and Scotland but not the territorial sea adjacent thereto as defined by the Territorial Seas Act 1987</w:t>
            </w:r>
            <w:r>
              <w:rPr>
                <w:rFonts w:ascii="Arial" w:hAnsi="Arial" w:cs="Arial"/>
                <w:bCs/>
              </w:rPr>
              <w:t xml:space="preserve">. </w:t>
            </w:r>
          </w:p>
          <w:p w14:paraId="751DAC96" w14:textId="4E26D5E2" w:rsidR="00D41241" w:rsidRPr="00666F17" w:rsidRDefault="003C7BF0" w:rsidP="003C7BF0">
            <w:pPr>
              <w:spacing w:before="60" w:after="60"/>
              <w:jc w:val="both"/>
              <w:rPr>
                <w:rFonts w:ascii="Arial" w:hAnsi="Arial" w:cs="Arial"/>
                <w:bCs/>
              </w:rPr>
            </w:pPr>
            <w:r w:rsidRPr="00AB3706">
              <w:rPr>
                <w:rFonts w:ascii="Arial" w:hAnsi="Arial" w:cs="Arial"/>
                <w:bCs/>
              </w:rPr>
              <w:t xml:space="preserve">This product </w:t>
            </w:r>
            <w:r>
              <w:rPr>
                <w:rFonts w:ascii="Arial" w:hAnsi="Arial" w:cs="Arial"/>
                <w:bCs/>
              </w:rPr>
              <w:t>should</w:t>
            </w:r>
            <w:r w:rsidRPr="00AB3706">
              <w:rPr>
                <w:rFonts w:ascii="Arial" w:hAnsi="Arial" w:cs="Arial"/>
                <w:bCs/>
              </w:rPr>
              <w:t xml:space="preserve"> only be distributed by brokers approved by the carrier.</w:t>
            </w: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70311F0E" w:rsidR="002F1B42" w:rsidRPr="00666F17" w:rsidRDefault="003C7BF0" w:rsidP="00D41241">
            <w:pPr>
              <w:spacing w:before="60" w:after="6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1B282D51" w:rsidR="00063C29" w:rsidRPr="00666F17" w:rsidRDefault="00063C29" w:rsidP="00D41241">
            <w:pPr>
              <w:spacing w:before="60" w:after="60"/>
              <w:rPr>
                <w:rFonts w:ascii="Arial" w:hAnsi="Arial" w:cs="Arial"/>
                <w:bCs/>
                <w:i/>
                <w:iCs/>
              </w:rPr>
            </w:pPr>
            <w:bookmarkStart w:id="2"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3C7BF0">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2"/>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3C7BF0">
            <w:pPr>
              <w:spacing w:before="120" w:after="120"/>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lastRenderedPageBreak/>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3"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3"/>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4"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lastRenderedPageBreak/>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4"/>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lastRenderedPageBreak/>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5"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lastRenderedPageBreak/>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5"/>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lastRenderedPageBreak/>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FC33FB0"/>
    <w:multiLevelType w:val="hybridMultilevel"/>
    <w:tmpl w:val="E68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DE433E"/>
    <w:multiLevelType w:val="hybridMultilevel"/>
    <w:tmpl w:val="5FB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571AC3"/>
    <w:multiLevelType w:val="hybridMultilevel"/>
    <w:tmpl w:val="B0D0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1"/>
  </w:num>
  <w:num w:numId="5" w16cid:durableId="1697654760">
    <w:abstractNumId w:val="14"/>
  </w:num>
  <w:num w:numId="6" w16cid:durableId="967667101">
    <w:abstractNumId w:val="20"/>
  </w:num>
  <w:num w:numId="7" w16cid:durableId="1782411577">
    <w:abstractNumId w:val="19"/>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7"/>
  </w:num>
  <w:num w:numId="13" w16cid:durableId="1486240968">
    <w:abstractNumId w:val="6"/>
  </w:num>
  <w:num w:numId="14" w16cid:durableId="141584819">
    <w:abstractNumId w:val="7"/>
  </w:num>
  <w:num w:numId="15" w16cid:durableId="499004247">
    <w:abstractNumId w:val="15"/>
  </w:num>
  <w:num w:numId="16" w16cid:durableId="2058434666">
    <w:abstractNumId w:val="3"/>
  </w:num>
  <w:num w:numId="17" w16cid:durableId="1734156735">
    <w:abstractNumId w:val="13"/>
  </w:num>
  <w:num w:numId="18" w16cid:durableId="1766733078">
    <w:abstractNumId w:val="12"/>
  </w:num>
  <w:num w:numId="19" w16cid:durableId="1824464112">
    <w:abstractNumId w:val="0"/>
  </w:num>
  <w:num w:numId="20" w16cid:durableId="1510757541">
    <w:abstractNumId w:val="10"/>
  </w:num>
  <w:num w:numId="21" w16cid:durableId="1635328396">
    <w:abstractNumId w:val="18"/>
  </w:num>
  <w:num w:numId="22" w16cid:durableId="5941662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251C1"/>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BF0"/>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82372"/>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3</cp:revision>
  <dcterms:created xsi:type="dcterms:W3CDTF">2023-03-08T19:57:00Z</dcterms:created>
  <dcterms:modified xsi:type="dcterms:W3CDTF">2023-03-08T20:04:00Z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